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103"/>
        <w:gridCol w:w="5386"/>
        <w:gridCol w:w="3260"/>
      </w:tblGrid>
      <w:tr w:rsidR="004A433B" w:rsidRPr="004A433B" w:rsidTr="001F5C06">
        <w:tc>
          <w:tcPr>
            <w:tcW w:w="14317" w:type="dxa"/>
            <w:gridSpan w:val="4"/>
            <w:shd w:val="clear" w:color="auto" w:fill="D9D9D9"/>
          </w:tcPr>
          <w:p w:rsidR="004A433B" w:rsidRPr="004A433B" w:rsidRDefault="004A433B" w:rsidP="004A433B">
            <w:pPr>
              <w:spacing w:before="120" w:after="80" w:line="288" w:lineRule="auto"/>
              <w:ind w:left="720"/>
              <w:contextualSpacing/>
              <w:jc w:val="both"/>
              <w:rPr>
                <w:rFonts w:ascii="Times New Roman" w:eastAsia="Calibri" w:hAnsi="Times New Roman" w:cs="Times New Roman"/>
                <w:iCs/>
                <w:sz w:val="26"/>
                <w:szCs w:val="26"/>
                <w:lang w:val="nl-NL"/>
              </w:rPr>
            </w:pPr>
            <w:bookmarkStart w:id="0" w:name="_GoBack"/>
            <w:bookmarkEnd w:id="0"/>
            <w:r w:rsidRPr="004A433B">
              <w:rPr>
                <w:rFonts w:ascii="Times New Roman" w:eastAsia="Calibri" w:hAnsi="Times New Roman" w:cs="Times New Roman"/>
                <w:b/>
                <w:sz w:val="26"/>
                <w:szCs w:val="26"/>
                <w:lang w:val="fr-FR"/>
              </w:rPr>
              <w:t>Dự thảo Nghị định quy định một số điều kiện đầu tư kinh doanh chứng khoán</w:t>
            </w:r>
          </w:p>
        </w:tc>
      </w:tr>
      <w:tr w:rsidR="004A433B" w:rsidRPr="004A433B" w:rsidTr="001F5C06">
        <w:tc>
          <w:tcPr>
            <w:tcW w:w="568"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sz w:val="26"/>
                <w:szCs w:val="26"/>
                <w:lang w:val="fr-FR"/>
              </w:rPr>
              <w:t>1</w:t>
            </w:r>
          </w:p>
        </w:tc>
        <w:tc>
          <w:tcPr>
            <w:tcW w:w="5103"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b/>
                <w:sz w:val="26"/>
                <w:szCs w:val="26"/>
                <w:lang w:val="fr-FR"/>
              </w:rPr>
              <w:t>Điều 6</w:t>
            </w:r>
            <w:r w:rsidRPr="004A433B">
              <w:rPr>
                <w:rFonts w:ascii="Times New Roman" w:eastAsia="Calibri" w:hAnsi="Times New Roman" w:cs="Times New Roman"/>
                <w:sz w:val="26"/>
                <w:szCs w:val="26"/>
                <w:lang w:val="fr-FR"/>
              </w:rPr>
              <w:t xml:space="preserve"> về điều kiện bổ sung nghiệp vụ kinh doanh chứng khoán của công ty chứng khoán quy định: Công ty chứng khoán được bổ sung nghiệp vụ kinh doanh chứng khoán sau khi được Ủy ban Chứng khoán Nhà nước </w:t>
            </w:r>
            <w:r w:rsidRPr="004A433B">
              <w:rPr>
                <w:rFonts w:ascii="Times New Roman" w:eastAsia="Calibri" w:hAnsi="Times New Roman" w:cs="Times New Roman"/>
                <w:b/>
                <w:sz w:val="26"/>
                <w:szCs w:val="26"/>
                <w:lang w:val="fr-FR"/>
              </w:rPr>
              <w:t xml:space="preserve">chấp thuận </w:t>
            </w:r>
            <w:r w:rsidRPr="004A433B">
              <w:rPr>
                <w:rFonts w:ascii="Times New Roman" w:eastAsia="Calibri" w:hAnsi="Times New Roman" w:cs="Times New Roman"/>
                <w:sz w:val="26"/>
                <w:szCs w:val="26"/>
                <w:lang w:val="fr-FR"/>
              </w:rPr>
              <w:t>trên cơ sở đáp ứng các điều kiện …</w:t>
            </w:r>
          </w:p>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b/>
                <w:sz w:val="26"/>
                <w:szCs w:val="26"/>
                <w:lang w:val="fr-FR"/>
              </w:rPr>
              <w:t>Điều 8</w:t>
            </w:r>
            <w:r w:rsidRPr="004A433B">
              <w:rPr>
                <w:rFonts w:ascii="Times New Roman" w:eastAsia="Calibri" w:hAnsi="Times New Roman" w:cs="Times New Roman"/>
                <w:sz w:val="26"/>
                <w:szCs w:val="26"/>
                <w:lang w:val="fr-FR"/>
              </w:rPr>
              <w:t xml:space="preserve"> về điều kiện đăng ký cung cấp dịch vụ giao dịch ký quỹ, giao dịch trong ngày, dịch vụ kinh doanh, bù trừ, thanh toán giao dịch chứng khoán phái sinh quy định: công ty chứng khoán được thực hiện giao dịch ký quỹ sau khi Ủy ban Chứng khoán nhà nước </w:t>
            </w:r>
            <w:r w:rsidRPr="004A433B">
              <w:rPr>
                <w:rFonts w:ascii="Times New Roman" w:eastAsia="Calibri" w:hAnsi="Times New Roman" w:cs="Times New Roman"/>
                <w:b/>
                <w:sz w:val="26"/>
                <w:szCs w:val="26"/>
                <w:lang w:val="fr-FR"/>
              </w:rPr>
              <w:t>chấp thuận</w:t>
            </w:r>
            <w:r w:rsidRPr="004A433B">
              <w:rPr>
                <w:rFonts w:ascii="Times New Roman" w:eastAsia="Calibri" w:hAnsi="Times New Roman" w:cs="Times New Roman"/>
                <w:sz w:val="26"/>
                <w:szCs w:val="26"/>
                <w:lang w:val="fr-FR"/>
              </w:rPr>
              <w:t xml:space="preserve"> trên cơ sở đáp ứng các điều kiện sau …</w:t>
            </w:r>
          </w:p>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b/>
                <w:sz w:val="26"/>
                <w:szCs w:val="26"/>
                <w:lang w:val="fr-FR"/>
              </w:rPr>
              <w:t>Khoản 4 Điều 9</w:t>
            </w:r>
            <w:r w:rsidRPr="004A433B">
              <w:rPr>
                <w:rFonts w:ascii="Times New Roman" w:eastAsia="Calibri" w:hAnsi="Times New Roman" w:cs="Times New Roman"/>
                <w:sz w:val="26"/>
                <w:szCs w:val="26"/>
                <w:lang w:val="fr-FR"/>
              </w:rPr>
              <w:t xml:space="preserve"> về điều kiện thành lập, bổ sung nghiệp vụ chi nhánh, phòng giao dịch công ty chứng khoán quy định: “Ủy ban Chứng khoán Nhà nước thực hiện kiểm tra cơ sở vật chất, trụ sở đối với chi nhánh công ty chứng khoán dự kiến thực hiện nghiệp vụ môi giới chứng khoán, tự doanh chứng khoán hoặc phòng giao dịch trước khi ra quyết định </w:t>
            </w:r>
            <w:r w:rsidRPr="004A433B">
              <w:rPr>
                <w:rFonts w:ascii="Times New Roman" w:eastAsia="Calibri" w:hAnsi="Times New Roman" w:cs="Times New Roman"/>
                <w:b/>
                <w:sz w:val="26"/>
                <w:szCs w:val="26"/>
                <w:lang w:val="fr-FR"/>
              </w:rPr>
              <w:t>chấp thuận</w:t>
            </w:r>
            <w:r w:rsidRPr="004A433B">
              <w:rPr>
                <w:rFonts w:ascii="Times New Roman" w:eastAsia="Calibri" w:hAnsi="Times New Roman" w:cs="Times New Roman"/>
                <w:sz w:val="26"/>
                <w:szCs w:val="26"/>
                <w:lang w:val="fr-FR"/>
              </w:rPr>
              <w:t>” (khoản 4)</w:t>
            </w:r>
          </w:p>
        </w:tc>
        <w:tc>
          <w:tcPr>
            <w:tcW w:w="5386"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sz w:val="26"/>
                <w:szCs w:val="26"/>
                <w:lang w:val="fr-FR"/>
              </w:rPr>
              <w:t>Dự thảo không thấy có quy định về trình tự, thủ tục và hình thức để Ủy ban Chứng khoán Nhà nước “chấp thuận” cho các doanh nghiệp được thực hiện các hoạt động kinh doanh chứng khoán này.</w:t>
            </w:r>
          </w:p>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sz w:val="26"/>
                <w:szCs w:val="26"/>
                <w:lang w:val="fr-FR"/>
              </w:rPr>
              <w:t>Hoặc không rõ trình tự, thủ tục này quy định ở văn bản pháp luật nào.</w:t>
            </w:r>
          </w:p>
        </w:tc>
        <w:tc>
          <w:tcPr>
            <w:tcW w:w="3260"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r w:rsidRPr="004A433B">
              <w:rPr>
                <w:rFonts w:ascii="Times New Roman" w:eastAsia="Calibri" w:hAnsi="Times New Roman" w:cs="Times New Roman"/>
                <w:sz w:val="26"/>
                <w:szCs w:val="26"/>
                <w:lang w:val="fr-FR"/>
              </w:rPr>
              <w:t xml:space="preserve">Đề nghị </w:t>
            </w:r>
            <w:r w:rsidRPr="004A433B">
              <w:rPr>
                <w:rFonts w:ascii="Times New Roman" w:eastAsia="Calibri" w:hAnsi="Times New Roman" w:cs="Times New Roman"/>
                <w:b/>
                <w:sz w:val="26"/>
                <w:szCs w:val="26"/>
                <w:lang w:val="fr-FR"/>
              </w:rPr>
              <w:t>quy định rõ các vấn đề trên</w:t>
            </w:r>
          </w:p>
          <w:p w:rsidR="004A433B" w:rsidRPr="004A433B" w:rsidRDefault="004A433B" w:rsidP="004A433B">
            <w:pPr>
              <w:spacing w:before="120" w:after="80" w:line="288" w:lineRule="auto"/>
              <w:ind w:left="720"/>
              <w:contextualSpacing/>
              <w:jc w:val="both"/>
              <w:rPr>
                <w:rFonts w:ascii="Times New Roman" w:eastAsia="Calibri" w:hAnsi="Times New Roman" w:cs="Times New Roman"/>
                <w:b/>
                <w:sz w:val="26"/>
                <w:szCs w:val="26"/>
                <w:lang w:val="fr-FR"/>
              </w:rPr>
            </w:pPr>
          </w:p>
        </w:tc>
      </w:tr>
      <w:tr w:rsidR="004A433B" w:rsidRPr="004A433B" w:rsidTr="001F5C06">
        <w:tc>
          <w:tcPr>
            <w:tcW w:w="568"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sz w:val="26"/>
                <w:szCs w:val="26"/>
                <w:lang w:val="fr-FR"/>
              </w:rPr>
              <w:t>2</w:t>
            </w:r>
          </w:p>
        </w:tc>
        <w:tc>
          <w:tcPr>
            <w:tcW w:w="5103"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r w:rsidRPr="004A433B">
              <w:rPr>
                <w:rFonts w:ascii="Times New Roman" w:eastAsia="Calibri" w:hAnsi="Times New Roman" w:cs="Times New Roman"/>
                <w:b/>
                <w:sz w:val="26"/>
                <w:szCs w:val="26"/>
                <w:lang w:val="fr-FR"/>
              </w:rPr>
              <w:t>Điều kiện cấp Giấy phép thành lập và hoạt động công ty chứng khoán (Điều 5)</w:t>
            </w:r>
          </w:p>
          <w:p w:rsidR="004A433B" w:rsidRPr="004A433B" w:rsidRDefault="004A433B" w:rsidP="004A433B">
            <w:pPr>
              <w:spacing w:before="120" w:after="80" w:line="288" w:lineRule="auto"/>
              <w:ind w:firstLine="360"/>
              <w:jc w:val="both"/>
              <w:rPr>
                <w:rFonts w:ascii="Times New Roman" w:eastAsia="Calibri" w:hAnsi="Times New Roman" w:cs="Times New Roman"/>
                <w:sz w:val="26"/>
                <w:szCs w:val="26"/>
                <w:lang w:val="fr-FR"/>
              </w:rPr>
            </w:pPr>
            <w:r w:rsidRPr="004A433B">
              <w:rPr>
                <w:rFonts w:ascii="Times New Roman" w:eastAsia="Calibri" w:hAnsi="Times New Roman" w:cs="Times New Roman"/>
                <w:sz w:val="26"/>
                <w:szCs w:val="26"/>
                <w:lang w:val="fr-FR"/>
              </w:rPr>
              <w:t>Theo quy định tại Điều 5 Dự thảo thì, công ty chứng khoán phải đáp ứng điều kiện là:</w:t>
            </w:r>
          </w:p>
          <w:p w:rsidR="004A433B" w:rsidRPr="004A433B" w:rsidRDefault="004A433B" w:rsidP="004A433B">
            <w:pPr>
              <w:numPr>
                <w:ilvl w:val="0"/>
                <w:numId w:val="1"/>
              </w:numPr>
              <w:spacing w:before="120" w:after="80" w:line="288" w:lineRule="auto"/>
              <w:contextualSpacing/>
              <w:jc w:val="both"/>
              <w:rPr>
                <w:rFonts w:ascii="Times New Roman" w:eastAsia="Calibri" w:hAnsi="Times New Roman" w:cs="Times New Roman"/>
                <w:sz w:val="26"/>
                <w:szCs w:val="26"/>
                <w:lang w:val="fr-FR"/>
              </w:rPr>
            </w:pPr>
            <w:r w:rsidRPr="004A433B">
              <w:rPr>
                <w:rFonts w:ascii="Times New Roman" w:eastAsia="Calibri" w:hAnsi="Times New Roman" w:cs="Times New Roman"/>
                <w:b/>
                <w:sz w:val="26"/>
                <w:szCs w:val="26"/>
                <w:lang w:val="fr-FR"/>
              </w:rPr>
              <w:t>Quyền sử dụng trụ sở công ty có thời hạn tối thiểu một (01) năm</w:t>
            </w:r>
            <w:r w:rsidRPr="004A433B">
              <w:rPr>
                <w:rFonts w:ascii="Times New Roman" w:eastAsia="Calibri" w:hAnsi="Times New Roman" w:cs="Times New Roman"/>
                <w:sz w:val="26"/>
                <w:szCs w:val="26"/>
                <w:lang w:val="fr-FR"/>
              </w:rPr>
              <w:t xml:space="preserve"> tính từ ngày </w:t>
            </w:r>
            <w:r w:rsidRPr="004A433B">
              <w:rPr>
                <w:rFonts w:ascii="Times New Roman" w:eastAsia="Calibri" w:hAnsi="Times New Roman" w:cs="Times New Roman"/>
                <w:sz w:val="26"/>
                <w:szCs w:val="26"/>
                <w:lang w:val="fr-FR"/>
              </w:rPr>
              <w:lastRenderedPageBreak/>
              <w:t>hồ sơ đề nghị cấp Giấy phép thành lập và hoạt động công ty chứng khoán đầy đủ và hợp lệ (điểm a khoản 1 Điều 5)</w:t>
            </w:r>
          </w:p>
          <w:p w:rsidR="004A433B" w:rsidRPr="004A433B" w:rsidRDefault="004A433B" w:rsidP="004A433B">
            <w:pPr>
              <w:numPr>
                <w:ilvl w:val="0"/>
                <w:numId w:val="1"/>
              </w:numPr>
              <w:spacing w:before="120" w:after="80" w:line="288" w:lineRule="auto"/>
              <w:contextualSpacing/>
              <w:jc w:val="both"/>
              <w:rPr>
                <w:rFonts w:ascii="Times New Roman" w:eastAsia="Calibri" w:hAnsi="Times New Roman" w:cs="Times New Roman"/>
                <w:sz w:val="26"/>
                <w:szCs w:val="26"/>
                <w:lang w:val="fr-FR"/>
              </w:rPr>
            </w:pPr>
            <w:r w:rsidRPr="004A433B">
              <w:rPr>
                <w:rFonts w:ascii="Times New Roman" w:eastAsia="Calibri" w:hAnsi="Times New Roman" w:cs="Times New Roman"/>
                <w:b/>
                <w:sz w:val="26"/>
                <w:szCs w:val="26"/>
                <w:lang w:val="fr-FR"/>
              </w:rPr>
              <w:t>Diện tích sàn giao dịch chứng khoán</w:t>
            </w:r>
            <w:r w:rsidRPr="004A433B">
              <w:rPr>
                <w:rFonts w:ascii="Times New Roman" w:eastAsia="Calibri" w:hAnsi="Times New Roman" w:cs="Times New Roman"/>
                <w:sz w:val="26"/>
                <w:szCs w:val="26"/>
                <w:lang w:val="fr-FR"/>
              </w:rPr>
              <w:t xml:space="preserve"> tại trụ sở chính của công ty chứng khoán có nghiệp vụ môi giới chứng khoán tối thiểu là 100 m</w:t>
            </w:r>
            <w:r w:rsidRPr="004A433B">
              <w:rPr>
                <w:rFonts w:ascii="Times New Roman" w:eastAsia="Calibri" w:hAnsi="Times New Roman" w:cs="Times New Roman"/>
                <w:sz w:val="26"/>
                <w:szCs w:val="26"/>
                <w:vertAlign w:val="superscript"/>
                <w:lang w:val="fr-FR"/>
              </w:rPr>
              <w:t>2</w:t>
            </w:r>
            <w:r w:rsidRPr="004A433B">
              <w:rPr>
                <w:rFonts w:ascii="Times New Roman" w:eastAsia="Calibri" w:hAnsi="Times New Roman" w:cs="Times New Roman"/>
                <w:sz w:val="26"/>
                <w:szCs w:val="26"/>
                <w:lang w:val="fr-FR"/>
              </w:rPr>
              <w:t xml:space="preserve"> (điểm b khoản 1 Điều 5)</w:t>
            </w: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tc>
        <w:tc>
          <w:tcPr>
            <w:tcW w:w="5386"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sz w:val="26"/>
                <w:szCs w:val="26"/>
                <w:lang w:val="fr-FR"/>
              </w:rPr>
              <w:lastRenderedPageBreak/>
              <w:t>Quy định về các điều kiện trên là chưa hợp lý ở các điểm sau:</w:t>
            </w:r>
          </w:p>
          <w:p w:rsidR="004A433B" w:rsidRPr="004A433B" w:rsidRDefault="004A433B" w:rsidP="004A433B">
            <w:pPr>
              <w:spacing w:before="120" w:after="80" w:line="288" w:lineRule="auto"/>
              <w:contextualSpacing/>
              <w:jc w:val="both"/>
              <w:rPr>
                <w:rFonts w:ascii="Times New Roman" w:eastAsia="Calibri" w:hAnsi="Times New Roman" w:cs="Times New Roman"/>
                <w:b/>
                <w:sz w:val="26"/>
                <w:szCs w:val="26"/>
                <w:lang w:val="fr-FR"/>
              </w:rPr>
            </w:pPr>
            <w:r w:rsidRPr="004A433B">
              <w:rPr>
                <w:rFonts w:ascii="Times New Roman" w:eastAsia="Calibri" w:hAnsi="Times New Roman" w:cs="Times New Roman"/>
                <w:sz w:val="26"/>
                <w:szCs w:val="26"/>
                <w:lang w:val="fr-FR"/>
              </w:rPr>
              <w:t xml:space="preserve">- Yêu cầu về thời hạn tối thiểu một năm cho quyền sử dụng trụ sở, có thể được hiểu nhằm mục đích đảm bảo tính ổn định trong hoạt động của công ty chứng khoán tuy nhiên, đây lại là quy định can </w:t>
            </w:r>
            <w:r w:rsidRPr="004A433B">
              <w:rPr>
                <w:rFonts w:ascii="Times New Roman" w:eastAsia="Calibri" w:hAnsi="Times New Roman" w:cs="Times New Roman"/>
                <w:sz w:val="26"/>
                <w:szCs w:val="26"/>
                <w:lang w:val="fr-FR"/>
              </w:rPr>
              <w:lastRenderedPageBreak/>
              <w:t>thiệp sâu vào quyền tự chủ kinh doanh của doanh nghiệp. Quyền sử dụng trụ sở thường được thiết lập trên cơ sở hợp đồng, tự nguyện và tự thoả thuận, vì vậy thời hạn thuê không thể áp đặt “cứng” bằng một khoảng thời gian nào đó, mà còn tùy thuộc vào thỏa thuận của các bên trong hợp đồng và có thể thay đổi trong quá trình thực hiện khi những điều kiện thực hiện hợp đồng thay đổi. Hơn nữa, đứng dưới góc độ các mục tiêu quản lý trong lĩnh vực này, thì trụ sở không phải là yếu tố cốt lõi cần phải kiểm soát. Vì vậy, yêu cầu về thời hạn cố định tối thiểu của trụ sở của công ty chứng khoán là chưa phù hợp.</w:t>
            </w:r>
          </w:p>
          <w:p w:rsidR="004A433B" w:rsidRPr="004A433B" w:rsidRDefault="004A433B" w:rsidP="004A433B">
            <w:pPr>
              <w:spacing w:before="120" w:after="80" w:line="288" w:lineRule="auto"/>
              <w:contextualSpacing/>
              <w:jc w:val="both"/>
              <w:rPr>
                <w:rFonts w:ascii="Times New Roman" w:eastAsia="Calibri" w:hAnsi="Times New Roman" w:cs="Times New Roman"/>
                <w:sz w:val="26"/>
                <w:szCs w:val="26"/>
                <w:lang w:val="fr-FR"/>
              </w:rPr>
            </w:pPr>
            <w:r w:rsidRPr="004A433B">
              <w:rPr>
                <w:rFonts w:ascii="Times New Roman" w:eastAsia="Calibri" w:hAnsi="Times New Roman" w:cs="Times New Roman"/>
                <w:sz w:val="26"/>
                <w:szCs w:val="26"/>
                <w:lang w:val="fr-FR"/>
              </w:rPr>
              <w:t xml:space="preserve">- Yêu cầu diện tích tối thiểu về sàn giao dịch chứng khoán tại trụ sở dường như cũng chưa hợp lý. Ban soạn thảo chưa đưa ra giải trình thuyết phục về việc tại sao lại phải đáp ứng tối thiểu diện tích 100m2 mà không phải là con số khác? Và tại sao sàn giao dịch chứng khoán lại phải đáp ứng một diện tích tối thiểu như đề xuất tại Dự thảo thay vì chỉ cần có sàn giao dịch với diện tích </w:t>
            </w:r>
            <w:r w:rsidRPr="004A433B">
              <w:rPr>
                <w:rFonts w:ascii="Times New Roman" w:eastAsia="Calibri" w:hAnsi="Times New Roman" w:cs="Times New Roman"/>
                <w:b/>
                <w:sz w:val="26"/>
                <w:szCs w:val="26"/>
                <w:lang w:val="fr-FR"/>
              </w:rPr>
              <w:t>phù hợp</w:t>
            </w:r>
            <w:r w:rsidRPr="004A433B">
              <w:rPr>
                <w:rFonts w:ascii="Times New Roman" w:eastAsia="Calibri" w:hAnsi="Times New Roman" w:cs="Times New Roman"/>
                <w:sz w:val="26"/>
                <w:szCs w:val="26"/>
                <w:lang w:val="fr-FR"/>
              </w:rPr>
              <w:t xml:space="preserve">với hoạt động dịch vụ do doanh nghiệp cung cấp? Mặt khác, đối với các giao dịch chứng khoán, nhiều trường hợp nhà đầu tư không cần phải đến sàn giao dịch mới có thể thực hiện được các lệnh giao dịch, hay tìm hiểu được thông tin về các loại chứng khoán. Do đó, quy định cứng về diện tích tối thiểu của sàn giao dịch có căn cứ chưa vững chắc. </w:t>
            </w:r>
          </w:p>
        </w:tc>
        <w:tc>
          <w:tcPr>
            <w:tcW w:w="3260" w:type="dxa"/>
            <w:shd w:val="clear" w:color="auto" w:fill="auto"/>
          </w:tcPr>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r w:rsidRPr="004A433B">
              <w:rPr>
                <w:rFonts w:ascii="Times New Roman" w:eastAsia="Calibri" w:hAnsi="Times New Roman" w:cs="Times New Roman"/>
                <w:b/>
                <w:sz w:val="26"/>
                <w:szCs w:val="26"/>
                <w:lang w:val="fr-FR"/>
              </w:rPr>
              <w:lastRenderedPageBreak/>
              <w:t xml:space="preserve">Đề nghị bỏ yêu cầu về thời hạn tối thiểu một năm (bỏ quy định tại điểm </w:t>
            </w:r>
            <w:proofErr w:type="gramStart"/>
            <w:r w:rsidRPr="004A433B">
              <w:rPr>
                <w:rFonts w:ascii="Times New Roman" w:eastAsia="Calibri" w:hAnsi="Times New Roman" w:cs="Times New Roman"/>
                <w:b/>
                <w:sz w:val="26"/>
                <w:szCs w:val="26"/>
                <w:lang w:val="fr-FR"/>
              </w:rPr>
              <w:t>a</w:t>
            </w:r>
            <w:proofErr w:type="gramEnd"/>
            <w:r w:rsidRPr="004A433B">
              <w:rPr>
                <w:rFonts w:ascii="Times New Roman" w:eastAsia="Calibri" w:hAnsi="Times New Roman" w:cs="Times New Roman"/>
                <w:b/>
                <w:sz w:val="26"/>
                <w:szCs w:val="26"/>
                <w:lang w:val="fr-FR"/>
              </w:rPr>
              <w:t xml:space="preserve"> khoản 1 Điều 5).</w:t>
            </w: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b/>
                <w:sz w:val="26"/>
                <w:szCs w:val="26"/>
                <w:lang w:val="fr-FR"/>
              </w:rPr>
            </w:pPr>
          </w:p>
          <w:p w:rsidR="004A433B" w:rsidRPr="004A433B" w:rsidRDefault="004A433B" w:rsidP="004A433B">
            <w:pPr>
              <w:spacing w:before="120" w:after="80" w:line="288" w:lineRule="auto"/>
              <w:jc w:val="both"/>
              <w:rPr>
                <w:rFonts w:ascii="Times New Roman" w:eastAsia="Calibri" w:hAnsi="Times New Roman" w:cs="Times New Roman"/>
                <w:sz w:val="26"/>
                <w:szCs w:val="26"/>
                <w:lang w:val="fr-FR"/>
              </w:rPr>
            </w:pPr>
            <w:r w:rsidRPr="004A433B">
              <w:rPr>
                <w:rFonts w:ascii="Times New Roman" w:eastAsia="Calibri" w:hAnsi="Times New Roman" w:cs="Times New Roman"/>
                <w:b/>
                <w:sz w:val="26"/>
                <w:szCs w:val="26"/>
                <w:lang w:val="fr-FR"/>
              </w:rPr>
              <w:t>Đề nghị bỏ yêu cầu về diện tích tối thiểu 100m</w:t>
            </w:r>
            <w:r w:rsidRPr="004A433B">
              <w:rPr>
                <w:rFonts w:ascii="Times New Roman" w:eastAsia="Calibri" w:hAnsi="Times New Roman" w:cs="Times New Roman"/>
                <w:b/>
                <w:sz w:val="26"/>
                <w:szCs w:val="26"/>
                <w:vertAlign w:val="superscript"/>
                <w:lang w:val="fr-FR"/>
              </w:rPr>
              <w:t>2</w:t>
            </w:r>
            <w:r w:rsidRPr="004A433B">
              <w:rPr>
                <w:rFonts w:ascii="Times New Roman" w:eastAsia="Calibri" w:hAnsi="Times New Roman" w:cs="Times New Roman"/>
                <w:sz w:val="26"/>
                <w:szCs w:val="26"/>
                <w:lang w:val="fr-FR"/>
              </w:rPr>
              <w:t xml:space="preserve"> của sàn giao dịch chứng khoán và quyền sử dụng trụ sở công ty có thời hạn tối thiểu 01 năm tính từ ngày hồ sơ đề nghị cấp giấy phép thành lập quy định tại khoản 1 Điều 5 </w:t>
            </w:r>
          </w:p>
        </w:tc>
      </w:tr>
    </w:tbl>
    <w:p w:rsidR="00181A50" w:rsidRPr="004A433B" w:rsidRDefault="00181A50">
      <w:pPr>
        <w:rPr>
          <w:lang w:val="fr-FR"/>
        </w:rPr>
      </w:pPr>
    </w:p>
    <w:sectPr w:rsidR="00181A50" w:rsidRPr="004A433B" w:rsidSect="004A433B">
      <w:pgSz w:w="15840" w:h="12240" w:orient="landscape"/>
      <w:pgMar w:top="709" w:right="144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F7081"/>
    <w:multiLevelType w:val="hybridMultilevel"/>
    <w:tmpl w:val="6BBC68C0"/>
    <w:lvl w:ilvl="0" w:tplc="26F83B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E76AE"/>
    <w:multiLevelType w:val="hybridMultilevel"/>
    <w:tmpl w:val="80861654"/>
    <w:lvl w:ilvl="0" w:tplc="797AAA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45"/>
    <w:rsid w:val="00067345"/>
    <w:rsid w:val="00181A50"/>
    <w:rsid w:val="004A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D421F-26F4-415E-9450-62FA208C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2016-08-29T03:56:00Z</dcterms:created>
  <dcterms:modified xsi:type="dcterms:W3CDTF">2016-08-29T04:00:00Z</dcterms:modified>
</cp:coreProperties>
</file>